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B7" w:rsidRPr="009862B7" w:rsidRDefault="009862B7" w:rsidP="00B80B81">
      <w:pPr>
        <w:wordWrap/>
        <w:adjustRightInd w:val="0"/>
        <w:spacing w:after="0" w:line="360" w:lineRule="auto"/>
        <w:jc w:val="left"/>
        <w:rPr>
          <w:rFonts w:ascii="Times New Roman" w:eastAsia="TimesNewRomanPS-BoldMT" w:hAnsi="Times New Roman" w:cs="Times New Roman"/>
          <w:b/>
          <w:bCs/>
          <w:kern w:val="0"/>
          <w:sz w:val="28"/>
          <w:szCs w:val="28"/>
        </w:rPr>
      </w:pPr>
      <w:r w:rsidRPr="009862B7">
        <w:rPr>
          <w:rFonts w:ascii="Times New Roman" w:eastAsia="TimesNewRomanPS-BoldMT" w:hAnsi="Times New Roman" w:cs="Times New Roman"/>
          <w:b/>
          <w:bCs/>
          <w:kern w:val="0"/>
          <w:sz w:val="28"/>
          <w:szCs w:val="28"/>
        </w:rPr>
        <w:t xml:space="preserve">Effect of </w:t>
      </w:r>
      <w:proofErr w:type="spellStart"/>
      <w:r w:rsidRPr="009862B7">
        <w:rPr>
          <w:rFonts w:ascii="Times New Roman" w:eastAsia="TimesNewRomanPS-BoldMT" w:hAnsi="Times New Roman" w:cs="Times New Roman"/>
          <w:b/>
          <w:bCs/>
          <w:kern w:val="0"/>
          <w:sz w:val="28"/>
          <w:szCs w:val="28"/>
        </w:rPr>
        <w:t>γ</w:t>
      </w:r>
      <w:proofErr w:type="spellEnd"/>
      <w:r w:rsidRPr="009862B7">
        <w:rPr>
          <w:rFonts w:ascii="Times New Roman" w:eastAsia="TimesNewRomanPS-BoldMT" w:hAnsi="Times New Roman" w:cs="Times New Roman"/>
          <w:b/>
          <w:bCs/>
          <w:kern w:val="0"/>
          <w:sz w:val="28"/>
          <w:szCs w:val="28"/>
        </w:rPr>
        <w:t>-ray MWCNTs on electrical conductivity of a PET/graphite composite</w:t>
      </w:r>
    </w:p>
    <w:p w:rsidR="009862B7" w:rsidRDefault="009862B7" w:rsidP="00B80B81">
      <w:pPr>
        <w:wordWrap/>
        <w:adjustRightInd w:val="0"/>
        <w:spacing w:after="0" w:line="360" w:lineRule="auto"/>
        <w:jc w:val="left"/>
        <w:rPr>
          <w:rFonts w:ascii="Times New Roman" w:eastAsia="TimesNewRomanPSMT" w:hAnsi="Times New Roman" w:cs="Times New Roman"/>
          <w:kern w:val="0"/>
          <w:szCs w:val="20"/>
        </w:rPr>
      </w:pPr>
      <w:bookmarkStart w:id="0" w:name="_GoBack"/>
      <w:bookmarkEnd w:id="0"/>
    </w:p>
    <w:p w:rsidR="009862B7" w:rsidRPr="009862B7" w:rsidRDefault="009862B7" w:rsidP="00B80B81">
      <w:pPr>
        <w:wordWrap/>
        <w:adjustRightInd w:val="0"/>
        <w:spacing w:after="0" w:line="360" w:lineRule="auto"/>
        <w:jc w:val="left"/>
        <w:rPr>
          <w:rFonts w:ascii="Times New Roman" w:eastAsia="TimesNewRomanPSMT" w:hAnsi="Times New Roman" w:cs="Times New Roman"/>
          <w:kern w:val="0"/>
          <w:szCs w:val="20"/>
        </w:rPr>
      </w:pPr>
      <w:proofErr w:type="spellStart"/>
      <w:r w:rsidRPr="009862B7">
        <w:rPr>
          <w:rFonts w:ascii="Times New Roman" w:eastAsia="TimesNewRomanPSMT" w:hAnsi="Times New Roman" w:cs="Times New Roman"/>
          <w:kern w:val="0"/>
          <w:szCs w:val="20"/>
        </w:rPr>
        <w:t>Taehyun</w:t>
      </w:r>
      <w:proofErr w:type="spellEnd"/>
      <w:r w:rsidRPr="009862B7"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proofErr w:type="spellStart"/>
      <w:r w:rsidRPr="009862B7">
        <w:rPr>
          <w:rFonts w:ascii="Times New Roman" w:eastAsia="TimesNewRomanPSMT" w:hAnsi="Times New Roman" w:cs="Times New Roman"/>
          <w:kern w:val="0"/>
          <w:szCs w:val="20"/>
        </w:rPr>
        <w:t>Yoo</w:t>
      </w:r>
      <w:proofErr w:type="spellEnd"/>
      <w:r w:rsidRPr="009862B7">
        <w:rPr>
          <w:rFonts w:ascii="Times New Roman" w:eastAsia="TimesNewRomanPSMT" w:hAnsi="Times New Roman" w:cs="Times New Roman"/>
          <w:kern w:val="0"/>
          <w:szCs w:val="20"/>
        </w:rPr>
        <w:t xml:space="preserve"> and </w:t>
      </w:r>
      <w:proofErr w:type="spellStart"/>
      <w:r w:rsidRPr="00F06AE6">
        <w:rPr>
          <w:rFonts w:ascii="Times New Roman" w:eastAsia="TimesNewRomanPSMT" w:hAnsi="Times New Roman" w:cs="Times New Roman"/>
          <w:kern w:val="0"/>
          <w:szCs w:val="20"/>
          <w:u w:val="single"/>
        </w:rPr>
        <w:t>Younggon</w:t>
      </w:r>
      <w:proofErr w:type="spellEnd"/>
      <w:r w:rsidRPr="00F06AE6">
        <w:rPr>
          <w:rFonts w:ascii="Times New Roman" w:eastAsia="TimesNewRomanPSMT" w:hAnsi="Times New Roman" w:cs="Times New Roman"/>
          <w:kern w:val="0"/>
          <w:szCs w:val="20"/>
          <w:u w:val="single"/>
        </w:rPr>
        <w:t xml:space="preserve"> Son</w:t>
      </w:r>
    </w:p>
    <w:p w:rsidR="009862B7" w:rsidRDefault="009862B7" w:rsidP="00B80B81">
      <w:pPr>
        <w:wordWrap/>
        <w:adjustRightInd w:val="0"/>
        <w:spacing w:after="0" w:line="360" w:lineRule="auto"/>
        <w:jc w:val="left"/>
        <w:rPr>
          <w:rFonts w:ascii="Times New Roman" w:eastAsia="TimesNewRomanPSMT" w:hAnsi="Times New Roman" w:cs="Times New Roman"/>
          <w:kern w:val="0"/>
          <w:szCs w:val="20"/>
        </w:rPr>
      </w:pPr>
    </w:p>
    <w:p w:rsidR="009862B7" w:rsidRPr="009862B7" w:rsidRDefault="009862B7" w:rsidP="00B80B81">
      <w:pPr>
        <w:wordWrap/>
        <w:adjustRightInd w:val="0"/>
        <w:spacing w:after="0" w:line="360" w:lineRule="auto"/>
        <w:jc w:val="left"/>
        <w:rPr>
          <w:rFonts w:ascii="Times New Roman" w:eastAsia="TimesNewRomanPSMT" w:hAnsi="Times New Roman" w:cs="Times New Roman"/>
          <w:kern w:val="0"/>
          <w:szCs w:val="20"/>
        </w:rPr>
      </w:pPr>
      <w:r w:rsidRPr="009862B7">
        <w:rPr>
          <w:rFonts w:ascii="Times New Roman" w:eastAsia="TimesNewRomanPSMT" w:hAnsi="Times New Roman" w:cs="Times New Roman"/>
          <w:kern w:val="0"/>
          <w:szCs w:val="20"/>
        </w:rPr>
        <w:t xml:space="preserve">Advanced Materials Science and Engineering, College of Engineering, </w:t>
      </w:r>
      <w:proofErr w:type="spellStart"/>
      <w:r w:rsidRPr="009862B7">
        <w:rPr>
          <w:rFonts w:ascii="Times New Roman" w:eastAsia="TimesNewRomanPSMT" w:hAnsi="Times New Roman" w:cs="Times New Roman"/>
          <w:kern w:val="0"/>
          <w:szCs w:val="20"/>
        </w:rPr>
        <w:t>Kongju</w:t>
      </w:r>
      <w:proofErr w:type="spellEnd"/>
      <w:r w:rsidRPr="009862B7">
        <w:rPr>
          <w:rFonts w:ascii="Times New Roman" w:eastAsia="TimesNewRomanPSMT" w:hAnsi="Times New Roman" w:cs="Times New Roman"/>
          <w:kern w:val="0"/>
          <w:szCs w:val="20"/>
        </w:rPr>
        <w:t xml:space="preserve"> National University, </w:t>
      </w:r>
      <w:proofErr w:type="spellStart"/>
      <w:r w:rsidRPr="009862B7">
        <w:rPr>
          <w:rFonts w:ascii="Times New Roman" w:eastAsia="TimesNewRomanPSMT" w:hAnsi="Times New Roman" w:cs="Times New Roman"/>
          <w:kern w:val="0"/>
          <w:szCs w:val="20"/>
        </w:rPr>
        <w:t>Cheonan</w:t>
      </w:r>
      <w:proofErr w:type="spellEnd"/>
      <w:r w:rsidRPr="009862B7">
        <w:rPr>
          <w:rFonts w:ascii="Times New Roman" w:eastAsia="TimesNewRomanPSMT" w:hAnsi="Times New Roman" w:cs="Times New Roman"/>
          <w:kern w:val="0"/>
          <w:szCs w:val="20"/>
        </w:rPr>
        <w:t xml:space="preserve">, </w:t>
      </w:r>
      <w:proofErr w:type="spellStart"/>
      <w:r w:rsidRPr="009862B7">
        <w:rPr>
          <w:rFonts w:ascii="Times New Roman" w:eastAsia="TimesNewRomanPSMT" w:hAnsi="Times New Roman" w:cs="Times New Roman"/>
          <w:kern w:val="0"/>
          <w:szCs w:val="20"/>
        </w:rPr>
        <w:t>Chungnam</w:t>
      </w:r>
      <w:proofErr w:type="spellEnd"/>
      <w:r w:rsidR="00F06AE6"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>
        <w:rPr>
          <w:rFonts w:ascii="Times New Roman" w:eastAsia="TimesNewRomanPSMT" w:hAnsi="Times New Roman" w:cs="Times New Roman"/>
          <w:kern w:val="0"/>
          <w:szCs w:val="20"/>
        </w:rPr>
        <w:t>3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1</w:t>
      </w:r>
      <w:r>
        <w:rPr>
          <w:rFonts w:ascii="Times New Roman" w:eastAsia="TimesNewRomanPSMT" w:hAnsi="Times New Roman" w:cs="Times New Roman"/>
          <w:kern w:val="0"/>
          <w:szCs w:val="20"/>
        </w:rPr>
        <w:t>080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, Republic of Korea</w:t>
      </w:r>
    </w:p>
    <w:p w:rsidR="00F06AE6" w:rsidRDefault="00F06AE6" w:rsidP="00B80B81">
      <w:pPr>
        <w:wordWrap/>
        <w:adjustRightInd w:val="0"/>
        <w:spacing w:after="0" w:line="360" w:lineRule="auto"/>
        <w:jc w:val="left"/>
        <w:rPr>
          <w:rFonts w:ascii="Times New Roman" w:eastAsia="TimesNewRomanPSMT" w:hAnsi="Times New Roman" w:cs="Times New Roman"/>
          <w:kern w:val="0"/>
          <w:szCs w:val="20"/>
        </w:rPr>
      </w:pPr>
    </w:p>
    <w:p w:rsidR="009862B7" w:rsidRPr="009862B7" w:rsidRDefault="009862B7" w:rsidP="00B80B81">
      <w:pPr>
        <w:wordWrap/>
        <w:adjustRightInd w:val="0"/>
        <w:spacing w:after="0" w:line="360" w:lineRule="auto"/>
        <w:jc w:val="left"/>
        <w:rPr>
          <w:rFonts w:ascii="Times New Roman" w:eastAsia="TimesNewRomanPSMT" w:hAnsi="Times New Roman" w:cs="Times New Roman"/>
          <w:kern w:val="0"/>
          <w:szCs w:val="20"/>
        </w:rPr>
      </w:pPr>
      <w:r w:rsidRPr="009862B7">
        <w:rPr>
          <w:rFonts w:ascii="Times New Roman" w:eastAsia="TimesNewRomanPSMT" w:hAnsi="Times New Roman" w:cs="Times New Roman"/>
          <w:kern w:val="0"/>
          <w:szCs w:val="20"/>
        </w:rPr>
        <w:t>sonyg@kongju.ac.kr</w:t>
      </w:r>
    </w:p>
    <w:p w:rsidR="009862B7" w:rsidRDefault="009862B7" w:rsidP="00B80B81">
      <w:pPr>
        <w:wordWrap/>
        <w:adjustRightInd w:val="0"/>
        <w:spacing w:after="0" w:line="360" w:lineRule="auto"/>
        <w:jc w:val="left"/>
        <w:rPr>
          <w:rFonts w:ascii="Times New Roman" w:eastAsia="TimesNewRomanPS-BoldMT" w:hAnsi="Times New Roman" w:cs="Times New Roman"/>
          <w:b/>
          <w:bCs/>
          <w:kern w:val="0"/>
          <w:szCs w:val="20"/>
        </w:rPr>
      </w:pPr>
    </w:p>
    <w:p w:rsidR="009862B7" w:rsidRPr="009862B7" w:rsidRDefault="009862B7" w:rsidP="00B80B81">
      <w:pPr>
        <w:wordWrap/>
        <w:adjustRightInd w:val="0"/>
        <w:spacing w:after="0" w:line="360" w:lineRule="auto"/>
        <w:jc w:val="left"/>
        <w:rPr>
          <w:rFonts w:ascii="Times New Roman" w:eastAsia="TimesNewRomanPS-BoldMT" w:hAnsi="Times New Roman" w:cs="Times New Roman"/>
          <w:b/>
          <w:bCs/>
          <w:kern w:val="0"/>
          <w:szCs w:val="20"/>
        </w:rPr>
      </w:pPr>
      <w:r w:rsidRPr="009862B7">
        <w:rPr>
          <w:rFonts w:ascii="Times New Roman" w:eastAsia="TimesNewRomanPS-BoldMT" w:hAnsi="Times New Roman" w:cs="Times New Roman"/>
          <w:b/>
          <w:bCs/>
          <w:kern w:val="0"/>
          <w:szCs w:val="20"/>
        </w:rPr>
        <w:t>ABSTRACT</w:t>
      </w:r>
    </w:p>
    <w:p w:rsidR="00AF29EA" w:rsidRPr="009862B7" w:rsidRDefault="009862B7" w:rsidP="00B80B81">
      <w:pPr>
        <w:wordWrap/>
        <w:adjustRightInd w:val="0"/>
        <w:spacing w:after="0" w:line="360" w:lineRule="auto"/>
        <w:jc w:val="distribute"/>
        <w:rPr>
          <w:rFonts w:ascii="Times New Roman" w:hAnsi="Times New Roman" w:cs="Times New Roman"/>
        </w:rPr>
      </w:pPr>
      <w:r w:rsidRPr="009862B7">
        <w:rPr>
          <w:rFonts w:ascii="Times New Roman" w:eastAsia="TimesNewRomanPSMT" w:hAnsi="Times New Roman" w:cs="Times New Roman"/>
          <w:kern w:val="0"/>
          <w:szCs w:val="20"/>
        </w:rPr>
        <w:t>The effects of a compounding method and γ-ray treated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multiwall carbon nanotubes (MWCNTs) on the electrical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conductivity of graphite/PET composites were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investigated. We found that dispersion of MWCNTs in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the PET phase plays a critical role in determining the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electrical conductivity of graphite/PET/MWCNT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composites. Dispersion and electrical conductivity were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enhanced by a two-step method in which PET and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MWCNTs are compounded in advance and the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MWCNT/PET mixture is then compounded again with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graphite. It was also observed that γ-ray treated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MWCNTs provide enhanced conductivity in the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graphite/PET/MWCNT composite. The synergetic effect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of the two-step mixing method and γ-ray treatment made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it possible to increase the conductivity of graphite/PET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composites to a great extent with a very small amount of</w:t>
      </w:r>
      <w:r>
        <w:rPr>
          <w:rFonts w:ascii="Times New Roman" w:eastAsia="TimesNewRomanPSMT" w:hAnsi="Times New Roman" w:cs="Times New Roman"/>
          <w:kern w:val="0"/>
          <w:szCs w:val="20"/>
        </w:rPr>
        <w:t xml:space="preserve"> </w:t>
      </w:r>
      <w:r w:rsidRPr="009862B7">
        <w:rPr>
          <w:rFonts w:ascii="Times New Roman" w:eastAsia="TimesNewRomanPSMT" w:hAnsi="Times New Roman" w:cs="Times New Roman"/>
          <w:kern w:val="0"/>
          <w:szCs w:val="20"/>
        </w:rPr>
        <w:t>γ-ray irradiated MWCNTs.</w:t>
      </w:r>
    </w:p>
    <w:sectPr w:rsidR="00AF29EA" w:rsidRPr="009862B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NewRomanPSMT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2B7"/>
    <w:rsid w:val="009862B7"/>
    <w:rsid w:val="00AF29EA"/>
    <w:rsid w:val="00B80B81"/>
    <w:rsid w:val="00F0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1AA24"/>
  <w15:chartTrackingRefBased/>
  <w15:docId w15:val="{5EDB8E36-8F76-47A9-A1B3-58613C1C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2018-06-15T06:18:00Z</dcterms:created>
  <dcterms:modified xsi:type="dcterms:W3CDTF">2018-06-15T06:21:00Z</dcterms:modified>
</cp:coreProperties>
</file>