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C36" w:rsidRPr="006E177D" w:rsidRDefault="006E177D" w:rsidP="006E177D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b/>
          <w:bCs/>
          <w:sz w:val="32"/>
          <w:szCs w:val="32"/>
        </w:rPr>
        <w:t xml:space="preserve">Optically controlled terahertz modulator by </w:t>
      </w:r>
      <w:proofErr w:type="spellStart"/>
      <w:r w:rsidRPr="007D6108">
        <w:rPr>
          <w:b/>
          <w:bCs/>
          <w:sz w:val="32"/>
          <w:szCs w:val="32"/>
        </w:rPr>
        <w:t>Formamidinium</w:t>
      </w:r>
      <w:proofErr w:type="spellEnd"/>
      <w:r w:rsidRPr="007D6108">
        <w:rPr>
          <w:b/>
          <w:bCs/>
          <w:sz w:val="32"/>
          <w:szCs w:val="32"/>
        </w:rPr>
        <w:t xml:space="preserve"> Lead Iodide (FAPbI3)</w:t>
      </w:r>
    </w:p>
    <w:p w:rsidR="00460C36" w:rsidRDefault="006E177D" w:rsidP="00EC6727">
      <w:pPr>
        <w:jc w:val="center"/>
        <w:rPr>
          <w:rFonts w:eastAsia="MS PGothic" w:hAnsi="Arial"/>
          <w:i/>
          <w:color w:val="000000"/>
        </w:rPr>
      </w:pPr>
      <w:r w:rsidRPr="006E177D">
        <w:rPr>
          <w:rFonts w:eastAsia="MS PGothic" w:hAnsi="Arial"/>
          <w:color w:val="000000"/>
          <w:lang w:val="nl-BE"/>
        </w:rPr>
        <w:t>Wwijun Wang</w:t>
      </w:r>
      <w:r w:rsidRPr="006E177D">
        <w:rPr>
          <w:rFonts w:eastAsia="MS PGothic" w:hAnsi="Arial"/>
          <w:color w:val="000000"/>
          <w:vertAlign w:val="superscript"/>
          <w:lang w:val="nl-BE"/>
        </w:rPr>
        <w:t>1</w:t>
      </w:r>
      <w:r w:rsidRPr="006E177D">
        <w:rPr>
          <w:rFonts w:eastAsia="MS PGothic" w:hAnsi="Arial"/>
          <w:color w:val="000000"/>
          <w:lang w:val="nl-BE"/>
        </w:rPr>
        <w:t xml:space="preserve"> Wen Xiong</w:t>
      </w:r>
      <w:r w:rsidRPr="006E177D">
        <w:rPr>
          <w:rFonts w:eastAsia="MS PGothic" w:hAnsi="Arial"/>
          <w:color w:val="000000"/>
          <w:vertAlign w:val="superscript"/>
          <w:lang w:val="nl-BE"/>
        </w:rPr>
        <w:t>2</w:t>
      </w:r>
      <w:r w:rsidRPr="006E177D">
        <w:rPr>
          <w:rFonts w:eastAsia="MS PGothic" w:hAnsi="Arial"/>
          <w:color w:val="000000"/>
          <w:lang w:val="nl-BE"/>
        </w:rPr>
        <w:t>, Jie Ji</w:t>
      </w:r>
      <w:r w:rsidRPr="006E177D">
        <w:rPr>
          <w:rFonts w:eastAsia="MS PGothic" w:hAnsi="Arial"/>
          <w:color w:val="000000"/>
          <w:vertAlign w:val="superscript"/>
          <w:lang w:val="nl-BE"/>
        </w:rPr>
        <w:t>1</w:t>
      </w:r>
      <w:r w:rsidRPr="006E177D">
        <w:rPr>
          <w:rFonts w:eastAsia="MS PGothic" w:hAnsi="Arial"/>
          <w:color w:val="000000"/>
          <w:lang w:val="nl-BE"/>
        </w:rPr>
        <w:t>, Siyan Zhou</w:t>
      </w:r>
      <w:r w:rsidRPr="006E177D">
        <w:rPr>
          <w:rFonts w:eastAsia="MS PGothic" w:hAnsi="Arial"/>
          <w:color w:val="000000"/>
          <w:vertAlign w:val="superscript"/>
          <w:lang w:val="nl-BE"/>
        </w:rPr>
        <w:t>2</w:t>
      </w:r>
      <w:r w:rsidRPr="006E177D">
        <w:rPr>
          <w:rFonts w:eastAsia="MS PGothic" w:hAnsi="Arial"/>
          <w:color w:val="000000"/>
          <w:lang w:val="nl-BE"/>
        </w:rPr>
        <w:t>, Furi Ling</w:t>
      </w:r>
      <w:r w:rsidRPr="006E177D">
        <w:rPr>
          <w:rFonts w:eastAsia="MS PGothic" w:hAnsi="Arial"/>
          <w:color w:val="000000"/>
          <w:vertAlign w:val="superscript"/>
          <w:lang w:val="nl-BE"/>
        </w:rPr>
        <w:t>2,*</w:t>
      </w:r>
      <w:r w:rsidR="00DE14BB" w:rsidRPr="006E177D">
        <w:rPr>
          <w:rFonts w:eastAsia="MS PGothic" w:hAnsi="Arial"/>
          <w:color w:val="000000"/>
          <w:lang w:val="nl-BE"/>
        </w:rPr>
        <w:t xml:space="preserve"> </w:t>
      </w:r>
      <w:r w:rsidR="00DE14BB" w:rsidRPr="006E177D">
        <w:rPr>
          <w:rFonts w:eastAsia="MS PGothic" w:hAnsi="Arial"/>
          <w:color w:val="000000"/>
          <w:lang w:val="nl-BE"/>
        </w:rPr>
        <w:t xml:space="preserve"> </w:t>
      </w:r>
      <w:r w:rsidRPr="006E177D">
        <w:rPr>
          <w:rFonts w:eastAsia="MS PGothic" w:hAnsi="Arial"/>
          <w:color w:val="000000"/>
          <w:lang w:val="nl-BE"/>
        </w:rPr>
        <w:t>AND Jianquan Yao</w:t>
      </w:r>
      <w:r w:rsidRPr="00DE14BB">
        <w:rPr>
          <w:rFonts w:eastAsia="MS PGothic" w:hAnsi="Arial"/>
          <w:color w:val="000000"/>
          <w:vertAlign w:val="superscript"/>
          <w:lang w:val="nl-BE"/>
        </w:rPr>
        <w:t>3</w:t>
      </w:r>
    </w:p>
    <w:p w:rsidR="00DE14BB" w:rsidRPr="00DE14BB" w:rsidRDefault="00DE14BB" w:rsidP="00DE14BB">
      <w:pPr>
        <w:spacing w:after="0"/>
        <w:jc w:val="both"/>
        <w:rPr>
          <w:rFonts w:eastAsia="MS PGothic" w:hAnsi="Arial"/>
          <w:i/>
          <w:color w:val="000000"/>
        </w:rPr>
      </w:pPr>
      <w:r w:rsidRPr="00DE14BB">
        <w:rPr>
          <w:rFonts w:eastAsia="MS PGothic" w:hAnsi="Arial"/>
          <w:i/>
          <w:color w:val="000000"/>
          <w:vertAlign w:val="superscript"/>
        </w:rPr>
        <w:t>1</w:t>
      </w:r>
      <w:r w:rsidRPr="00DE14BB">
        <w:rPr>
          <w:rFonts w:eastAsia="MS PGothic" w:hAnsi="Arial"/>
          <w:i/>
          <w:color w:val="000000"/>
        </w:rPr>
        <w:t xml:space="preserve">Wuhan National Laboratory for Optoelectronics, </w:t>
      </w:r>
      <w:proofErr w:type="spellStart"/>
      <w:r w:rsidRPr="00DE14BB">
        <w:rPr>
          <w:rFonts w:eastAsia="MS PGothic" w:hAnsi="Arial"/>
          <w:i/>
          <w:color w:val="000000"/>
        </w:rPr>
        <w:t>Huazhong</w:t>
      </w:r>
      <w:proofErr w:type="spellEnd"/>
      <w:r w:rsidRPr="00DE14BB">
        <w:rPr>
          <w:rFonts w:eastAsia="MS PGothic" w:hAnsi="Arial"/>
          <w:i/>
          <w:color w:val="000000"/>
        </w:rPr>
        <w:t xml:space="preserve"> University of Science and Technology, Wuhan, 430074, China</w:t>
      </w:r>
    </w:p>
    <w:p w:rsidR="00DE14BB" w:rsidRPr="00DE14BB" w:rsidRDefault="00DE14BB" w:rsidP="00DE14BB">
      <w:pPr>
        <w:spacing w:after="0"/>
        <w:jc w:val="both"/>
        <w:rPr>
          <w:rFonts w:eastAsia="MS PGothic" w:hAnsi="Arial"/>
          <w:i/>
          <w:color w:val="000000"/>
        </w:rPr>
      </w:pPr>
      <w:r w:rsidRPr="00DE14BB">
        <w:rPr>
          <w:rFonts w:eastAsia="MS PGothic" w:hAnsi="Arial"/>
          <w:i/>
          <w:color w:val="000000"/>
          <w:vertAlign w:val="superscript"/>
        </w:rPr>
        <w:t>2</w:t>
      </w:r>
      <w:r w:rsidRPr="00DE14BB">
        <w:rPr>
          <w:rFonts w:eastAsia="MS PGothic" w:hAnsi="Arial"/>
          <w:i/>
          <w:color w:val="000000"/>
        </w:rPr>
        <w:t xml:space="preserve">School of Optical and Electronic Information, </w:t>
      </w:r>
      <w:proofErr w:type="spellStart"/>
      <w:r w:rsidRPr="00DE14BB">
        <w:rPr>
          <w:rFonts w:eastAsia="MS PGothic" w:hAnsi="Arial"/>
          <w:i/>
          <w:color w:val="000000"/>
        </w:rPr>
        <w:t>Huazhong</w:t>
      </w:r>
      <w:proofErr w:type="spellEnd"/>
      <w:r w:rsidRPr="00DE14BB">
        <w:rPr>
          <w:rFonts w:eastAsia="MS PGothic" w:hAnsi="Arial"/>
          <w:i/>
          <w:color w:val="000000"/>
        </w:rPr>
        <w:t xml:space="preserve"> University of Science and Technology, Wuhan, 430074, China</w:t>
      </w:r>
    </w:p>
    <w:p w:rsidR="00460C36" w:rsidRPr="00DE14BB" w:rsidRDefault="00DE14BB" w:rsidP="00DE14BB">
      <w:pPr>
        <w:spacing w:after="0"/>
        <w:jc w:val="both"/>
        <w:rPr>
          <w:rFonts w:eastAsia="MS PGothic" w:hAnsi="Arial"/>
          <w:i/>
          <w:color w:val="000000"/>
        </w:rPr>
      </w:pPr>
      <w:r w:rsidRPr="00DE14BB">
        <w:rPr>
          <w:rFonts w:eastAsia="MS PGothic" w:hAnsi="Arial"/>
          <w:i/>
          <w:color w:val="000000"/>
          <w:vertAlign w:val="superscript"/>
        </w:rPr>
        <w:t>3</w:t>
      </w:r>
      <w:r w:rsidRPr="00DE14BB">
        <w:rPr>
          <w:rFonts w:eastAsia="MS PGothic" w:hAnsi="Arial"/>
          <w:i/>
          <w:color w:val="000000"/>
        </w:rPr>
        <w:t xml:space="preserve">College of Precision Instrument and Optoelectronics Engineering, Tianjin University, Tianjin 300072, China </w:t>
      </w:r>
    </w:p>
    <w:p w:rsidR="00460C36" w:rsidRDefault="00460C36" w:rsidP="00460C36">
      <w:pPr>
        <w:jc w:val="both"/>
        <w:rPr>
          <w:rFonts w:eastAsia="MS PGothic"/>
          <w:color w:val="000000"/>
          <w:szCs w:val="32"/>
        </w:rPr>
      </w:pPr>
      <w:r w:rsidRPr="00F06270">
        <w:rPr>
          <w:rFonts w:eastAsia="MS PGothic"/>
          <w:b/>
          <w:color w:val="000000"/>
          <w:szCs w:val="32"/>
        </w:rPr>
        <w:t>Abstrac</w:t>
      </w:r>
      <w:bookmarkStart w:id="0" w:name="_GoBack"/>
      <w:bookmarkEnd w:id="0"/>
      <w:r w:rsidRPr="00F06270">
        <w:rPr>
          <w:rFonts w:eastAsia="MS PGothic"/>
          <w:b/>
          <w:color w:val="000000"/>
          <w:szCs w:val="32"/>
        </w:rPr>
        <w:t>t:</w:t>
      </w:r>
    </w:p>
    <w:p w:rsidR="003E5A03" w:rsidRPr="00EC6727" w:rsidRDefault="00EC6727" w:rsidP="00EC6727">
      <w:pPr>
        <w:jc w:val="both"/>
        <w:rPr>
          <w:rFonts w:eastAsia="MS PGothic"/>
          <w:color w:val="000000"/>
          <w:szCs w:val="32"/>
        </w:rPr>
      </w:pPr>
      <w:r w:rsidRPr="00EC6727">
        <w:rPr>
          <w:rFonts w:eastAsia="MS PGothic"/>
          <w:color w:val="000000"/>
          <w:szCs w:val="32"/>
        </w:rPr>
        <w:t xml:space="preserve">Solution-processed organic−inorganic hybrid halide perovskite has emerged as an excellent material for harnessing solar energy. Perovskites has strong </w:t>
      </w:r>
      <w:proofErr w:type="spellStart"/>
      <w:r w:rsidRPr="00EC6727">
        <w:rPr>
          <w:rFonts w:eastAsia="MS PGothic"/>
          <w:color w:val="000000"/>
          <w:szCs w:val="32"/>
        </w:rPr>
        <w:t>photoresponsive</w:t>
      </w:r>
      <w:proofErr w:type="spellEnd"/>
      <w:r w:rsidRPr="00EC6727">
        <w:rPr>
          <w:rFonts w:eastAsia="MS PGothic"/>
          <w:color w:val="000000"/>
          <w:szCs w:val="32"/>
        </w:rPr>
        <w:t xml:space="preserve"> properties that </w:t>
      </w:r>
      <w:proofErr w:type="gramStart"/>
      <w:r w:rsidRPr="00EC6727">
        <w:rPr>
          <w:rFonts w:eastAsia="MS PGothic"/>
          <w:color w:val="000000"/>
          <w:szCs w:val="32"/>
        </w:rPr>
        <w:t>are used</w:t>
      </w:r>
      <w:proofErr w:type="gramEnd"/>
      <w:r w:rsidRPr="00EC6727">
        <w:rPr>
          <w:rFonts w:eastAsia="MS PGothic"/>
          <w:color w:val="000000"/>
          <w:szCs w:val="32"/>
        </w:rPr>
        <w:t xml:space="preserve"> in solar cells, light-emitting diodes, infrared lasers and ultrafast photodetectors. Therefore, the perovskite terahertz modulators are received increasing attention. </w:t>
      </w:r>
      <w:proofErr w:type="spellStart"/>
      <w:r w:rsidRPr="00EC6727">
        <w:rPr>
          <w:rFonts w:eastAsia="MS PGothic"/>
          <w:color w:val="000000"/>
          <w:szCs w:val="32"/>
        </w:rPr>
        <w:t>Formamidinium</w:t>
      </w:r>
      <w:proofErr w:type="spellEnd"/>
      <w:r w:rsidRPr="00EC6727">
        <w:rPr>
          <w:rFonts w:eastAsia="MS PGothic"/>
          <w:color w:val="000000"/>
          <w:szCs w:val="32"/>
        </w:rPr>
        <w:t xml:space="preserve"> Lead Iodide (</w:t>
      </w:r>
      <w:bookmarkStart w:id="1" w:name="OLE_LINK142"/>
      <w:bookmarkStart w:id="2" w:name="OLE_LINK143"/>
      <w:r w:rsidRPr="00EC6727">
        <w:rPr>
          <w:rFonts w:eastAsia="MS PGothic"/>
          <w:color w:val="000000"/>
          <w:szCs w:val="32"/>
        </w:rPr>
        <w:t>FAPbI3</w:t>
      </w:r>
      <w:bookmarkEnd w:id="1"/>
      <w:bookmarkEnd w:id="2"/>
      <w:r w:rsidRPr="00EC6727">
        <w:rPr>
          <w:rFonts w:eastAsia="MS PGothic"/>
          <w:color w:val="000000"/>
          <w:szCs w:val="32"/>
        </w:rPr>
        <w:t xml:space="preserve">) has larger organic cations that can replace metal ions to form a more symmetrical crystal structure. In the meantime, FAPbI3 has a higher decomposition temperature and potential for improved stability. In this article, we experimentally demonstrate </w:t>
      </w:r>
      <w:bookmarkStart w:id="3" w:name="OLE_LINK1"/>
      <w:bookmarkStart w:id="4" w:name="OLE_LINK2"/>
      <w:bookmarkStart w:id="5" w:name="OLE_LINK3"/>
      <w:bookmarkStart w:id="6" w:name="OLE_LINK4"/>
      <w:r w:rsidRPr="00EC6727">
        <w:rPr>
          <w:rFonts w:eastAsia="MS PGothic"/>
          <w:color w:val="000000"/>
          <w:szCs w:val="32"/>
        </w:rPr>
        <w:t>that</w:t>
      </w:r>
      <w:bookmarkEnd w:id="3"/>
      <w:bookmarkEnd w:id="4"/>
      <w:bookmarkEnd w:id="5"/>
      <w:bookmarkEnd w:id="6"/>
      <w:r w:rsidRPr="00EC6727">
        <w:rPr>
          <w:rFonts w:eastAsia="MS PGothic"/>
          <w:color w:val="000000"/>
          <w:szCs w:val="32"/>
        </w:rPr>
        <w:t xml:space="preserve"> the silicon- based perovskite terahertz modulator has excellent modulation capability and good stability. </w:t>
      </w:r>
      <w:proofErr w:type="gramStart"/>
      <w:r w:rsidRPr="00EC6727">
        <w:rPr>
          <w:rFonts w:eastAsia="MS PGothic"/>
          <w:color w:val="000000"/>
          <w:szCs w:val="32"/>
        </w:rPr>
        <w:t>So</w:t>
      </w:r>
      <w:proofErr w:type="gramEnd"/>
      <w:r w:rsidRPr="00EC6727">
        <w:rPr>
          <w:rFonts w:eastAsia="MS PGothic"/>
          <w:color w:val="000000"/>
          <w:szCs w:val="32"/>
        </w:rPr>
        <w:t xml:space="preserve"> the FAPbI3</w:t>
      </w:r>
      <w:r w:rsidRPr="00EC6727">
        <w:rPr>
          <w:rFonts w:eastAsia="MS PGothic" w:hint="eastAsia"/>
          <w:color w:val="000000"/>
          <w:szCs w:val="32"/>
        </w:rPr>
        <w:t xml:space="preserve"> </w:t>
      </w:r>
      <w:r w:rsidRPr="00EC6727">
        <w:rPr>
          <w:rFonts w:eastAsia="MS PGothic"/>
          <w:color w:val="000000"/>
          <w:szCs w:val="32"/>
        </w:rPr>
        <w:t xml:space="preserve">terahertz modulator is an excellent new illumination-controlled terahertz modulator. </w:t>
      </w:r>
      <w:bookmarkStart w:id="7" w:name="OLE_LINK5"/>
      <w:bookmarkStart w:id="8" w:name="OLE_LINK6"/>
      <w:bookmarkEnd w:id="7"/>
      <w:bookmarkEnd w:id="8"/>
      <w:r w:rsidRPr="00EC6727">
        <w:rPr>
          <w:rFonts w:eastAsia="MS PGothic"/>
          <w:color w:val="000000"/>
          <w:szCs w:val="32"/>
        </w:rPr>
        <w:t xml:space="preserve">As the external </w:t>
      </w:r>
      <w:bookmarkStart w:id="9" w:name="OLE_LINK424"/>
      <w:r w:rsidRPr="00EC6727">
        <w:rPr>
          <w:rFonts w:eastAsia="MS PGothic"/>
          <w:color w:val="000000"/>
          <w:szCs w:val="32"/>
        </w:rPr>
        <w:t>optical pump</w:t>
      </w:r>
      <w:bookmarkEnd w:id="9"/>
      <w:r w:rsidRPr="00EC6727">
        <w:rPr>
          <w:rFonts w:eastAsia="MS PGothic"/>
          <w:color w:val="000000"/>
          <w:szCs w:val="32"/>
        </w:rPr>
        <w:t xml:space="preserve"> increases, the </w:t>
      </w:r>
      <w:bookmarkStart w:id="10" w:name="OLE_LINK7"/>
      <w:bookmarkStart w:id="11" w:name="OLE_LINK8"/>
      <w:r w:rsidRPr="00EC6727">
        <w:rPr>
          <w:rFonts w:eastAsia="MS PGothic"/>
          <w:color w:val="000000"/>
          <w:szCs w:val="32"/>
        </w:rPr>
        <w:t>transmission</w:t>
      </w:r>
      <w:bookmarkEnd w:id="10"/>
      <w:bookmarkEnd w:id="11"/>
      <w:r w:rsidRPr="00EC6727">
        <w:rPr>
          <w:rFonts w:eastAsia="MS PGothic"/>
          <w:color w:val="000000"/>
          <w:szCs w:val="32"/>
        </w:rPr>
        <w:t xml:space="preserve"> gradually decreases, and significant light saturation occurs. In the case of high optical pump power, the terahertz transmission is less than 10%, showing excellent modulation.</w:t>
      </w:r>
    </w:p>
    <w:sectPr w:rsidR="003E5A03" w:rsidRPr="00EC6727" w:rsidSect="00F623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60C36"/>
    <w:rsid w:val="00180D2C"/>
    <w:rsid w:val="00347C89"/>
    <w:rsid w:val="003E5A03"/>
    <w:rsid w:val="00460C36"/>
    <w:rsid w:val="006E177D"/>
    <w:rsid w:val="00DD3333"/>
    <w:rsid w:val="00DE14BB"/>
    <w:rsid w:val="00EA11AF"/>
    <w:rsid w:val="00EC6727"/>
    <w:rsid w:val="00F6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A0A55"/>
  <w15:docId w15:val="{D9DE9710-622A-4649-9654-B19B3C03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thor-OE">
    <w:name w:val="Author - OE"/>
    <w:basedOn w:val="a"/>
    <w:next w:val="a"/>
    <w:qFormat/>
    <w:rsid w:val="006E177D"/>
    <w:pPr>
      <w:spacing w:before="240" w:after="80" w:line="240" w:lineRule="auto"/>
    </w:pPr>
    <w:rPr>
      <w:rFonts w:ascii="Arial" w:hAnsi="Arial"/>
      <w:b/>
      <w:smallCaps/>
      <w:color w:val="943634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wwj</cp:lastModifiedBy>
  <cp:revision>7</cp:revision>
  <dcterms:created xsi:type="dcterms:W3CDTF">2017-06-14T17:49:00Z</dcterms:created>
  <dcterms:modified xsi:type="dcterms:W3CDTF">2018-10-08T05:20:00Z</dcterms:modified>
</cp:coreProperties>
</file>