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E697" w14:textId="77777777" w:rsidR="008F32F3" w:rsidRDefault="008F32F3" w:rsidP="008F32F3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LED </w:t>
      </w:r>
      <w:proofErr w:type="spellStart"/>
      <w:r>
        <w:rPr>
          <w:b/>
          <w:bCs/>
          <w:color w:val="000000"/>
        </w:rPr>
        <w:t>Photobiomodulation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therapy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combined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with</w:t>
      </w:r>
      <w:proofErr w:type="spellEnd"/>
      <w:r>
        <w:rPr>
          <w:b/>
          <w:bCs/>
          <w:color w:val="000000"/>
        </w:rPr>
        <w:t xml:space="preserve"> biomaterial as a </w:t>
      </w:r>
      <w:proofErr w:type="spellStart"/>
      <w:r>
        <w:rPr>
          <w:b/>
          <w:bCs/>
          <w:color w:val="000000"/>
        </w:rPr>
        <w:t>scaffold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promotes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better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bone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quality</w:t>
      </w:r>
      <w:proofErr w:type="spellEnd"/>
      <w:r>
        <w:rPr>
          <w:b/>
          <w:bCs/>
          <w:color w:val="000000"/>
        </w:rPr>
        <w:t xml:space="preserve"> in </w:t>
      </w:r>
      <w:proofErr w:type="spellStart"/>
      <w:r>
        <w:rPr>
          <w:b/>
          <w:bCs/>
          <w:color w:val="000000"/>
        </w:rPr>
        <w:t>the</w:t>
      </w:r>
      <w:proofErr w:type="spellEnd"/>
      <w:r>
        <w:rPr>
          <w:b/>
          <w:bCs/>
          <w:color w:val="000000"/>
        </w:rPr>
        <w:t xml:space="preserve"> dental </w:t>
      </w:r>
      <w:proofErr w:type="spellStart"/>
      <w:r>
        <w:rPr>
          <w:b/>
          <w:bCs/>
          <w:color w:val="000000"/>
        </w:rPr>
        <w:t>alveolus</w:t>
      </w:r>
      <w:proofErr w:type="spellEnd"/>
      <w:r>
        <w:rPr>
          <w:b/>
          <w:bCs/>
          <w:color w:val="000000"/>
        </w:rPr>
        <w:t xml:space="preserve"> in </w:t>
      </w:r>
      <w:proofErr w:type="spellStart"/>
      <w:r>
        <w:rPr>
          <w:b/>
          <w:bCs/>
          <w:color w:val="000000"/>
        </w:rPr>
        <w:t>an</w:t>
      </w:r>
      <w:proofErr w:type="spellEnd"/>
      <w:r>
        <w:rPr>
          <w:b/>
          <w:bCs/>
          <w:color w:val="000000"/>
        </w:rPr>
        <w:t xml:space="preserve"> experimental </w:t>
      </w:r>
      <w:proofErr w:type="spellStart"/>
      <w:r>
        <w:rPr>
          <w:b/>
          <w:bCs/>
          <w:color w:val="000000"/>
        </w:rPr>
        <w:t>extraction</w:t>
      </w:r>
      <w:proofErr w:type="spellEnd"/>
      <w:r>
        <w:rPr>
          <w:b/>
          <w:bCs/>
          <w:color w:val="000000"/>
        </w:rPr>
        <w:t xml:space="preserve"> model.</w:t>
      </w:r>
    </w:p>
    <w:p w14:paraId="5D9E10E3" w14:textId="495DCED6" w:rsidR="008F32F3" w:rsidRPr="008F32F3" w:rsidRDefault="008F32F3" w:rsidP="008F32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The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loss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of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dental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element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causes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deformity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atrophy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other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hand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grafting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immediately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after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tooth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extraction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will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enable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rehabilitation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implants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restore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mastication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aesthetics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.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Photobiomodulation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accelerates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healing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activating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osteoblasts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decreasing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osteoclastic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activity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improving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integration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of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biomaterial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tissue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. The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aim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of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study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was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evaluate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effect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of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photobiomodulation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(LED ʎ=850nm)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quality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of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Wistar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rats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submitted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molar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extraction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without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graft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hydroxyapatite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biomaterial (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Straumann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®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Cerabone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®).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Forty-eight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rats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were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divided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five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(n = 12): Baseline (no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interventions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);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control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extraction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); LED (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extraction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+ LED); biomaterial (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extraction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+ biomaterial)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biomaterial + LED (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extraction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+ biomaterial + LED).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Euthanasia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occurred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15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30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days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after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extraction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induction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. The ALP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analysis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showed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improvement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formation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control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biomaterial + LED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in 15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days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(p = 0.0086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p = 0.0379.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addition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LED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had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better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formation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compared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other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30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days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(p = 0.0007,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Bonferroni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).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analysis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of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AcP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all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had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lower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resorption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compared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baseline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.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volume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increased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biomaterial, biomaterial + LED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basal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compared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control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15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days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(p &lt; 0.05, t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test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). At 30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days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basal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had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greater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volume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compared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control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LED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groups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(p &lt; 0.05, t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test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). The LED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combined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biomaterial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improved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formation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histological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analysis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decreased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degeneration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promoting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increase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density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volume. In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conclusion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LED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may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important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therapy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combined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biomaterials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promote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bone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formation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along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with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other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known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benefits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of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this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therapy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such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as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pain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control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and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the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inflammatory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proofErr w:type="spellStart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process</w:t>
      </w:r>
      <w:proofErr w:type="spellEnd"/>
      <w:r w:rsidRPr="008F32F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7544"/>
      </w:tblGrid>
      <w:tr w:rsidR="008F32F3" w:rsidRPr="008F32F3" w14:paraId="1814B95E" w14:textId="77777777" w:rsidTr="008F32F3">
        <w:tc>
          <w:tcPr>
            <w:tcW w:w="660" w:type="dxa"/>
            <w:tcMar>
              <w:top w:w="0" w:type="dxa"/>
              <w:left w:w="240" w:type="dxa"/>
              <w:bottom w:w="0" w:type="dxa"/>
              <w:right w:w="240" w:type="dxa"/>
            </w:tcMar>
            <w:hideMark/>
          </w:tcPr>
          <w:p w14:paraId="13FACB9B" w14:textId="7FC87C84" w:rsidR="008F32F3" w:rsidRPr="008F32F3" w:rsidRDefault="008F32F3" w:rsidP="008F32F3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pt-BR"/>
              </w:rPr>
            </w:pPr>
            <w:r w:rsidRPr="008F32F3">
              <w:rPr>
                <w:rFonts w:ascii="Helvetica" w:eastAsia="Times New Roman" w:hAnsi="Helvetica" w:cs="Helvetica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04F59D3E" wp14:editId="002AAA00">
                  <wp:extent cx="304800" cy="30480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:nw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61A572" w14:textId="77777777" w:rsidR="008F32F3" w:rsidRPr="008F32F3" w:rsidRDefault="008F32F3" w:rsidP="008F32F3">
            <w:pPr>
              <w:shd w:val="clear" w:color="auto" w:fill="FFFFFF"/>
              <w:spacing w:after="0" w:line="300" w:lineRule="atLeast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pt-BR"/>
              </w:rPr>
            </w:pPr>
            <w:proofErr w:type="spellStart"/>
            <w:r w:rsidRPr="008F32F3">
              <w:rPr>
                <w:rFonts w:ascii="Helvetica" w:eastAsia="Times New Roman" w:hAnsi="Helvetica" w:cs="Helvetica"/>
                <w:color w:val="5F6368"/>
                <w:spacing w:val="4"/>
                <w:sz w:val="24"/>
                <w:szCs w:val="24"/>
                <w:bdr w:val="none" w:sz="0" w:space="0" w:color="auto" w:frame="1"/>
                <w:lang w:eastAsia="pt-BR"/>
              </w:rPr>
              <w:t>ResponderEncaminhar</w:t>
            </w:r>
            <w:proofErr w:type="spellEnd"/>
          </w:p>
        </w:tc>
      </w:tr>
    </w:tbl>
    <w:p w14:paraId="25018315" w14:textId="77777777" w:rsidR="00E16211" w:rsidRDefault="00E16211"/>
    <w:sectPr w:rsidR="00E162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A4FBF"/>
    <w:multiLevelType w:val="hybridMultilevel"/>
    <w:tmpl w:val="34DE7968"/>
    <w:lvl w:ilvl="0" w:tplc="4C7A763A">
      <w:start w:val="1"/>
      <w:numFmt w:val="decimal"/>
      <w:pStyle w:val="Textodenotadefim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F3"/>
    <w:rsid w:val="00182BEE"/>
    <w:rsid w:val="008F32F3"/>
    <w:rsid w:val="00E1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74A7"/>
  <w15:chartTrackingRefBased/>
  <w15:docId w15:val="{6F570362-0C66-46C3-A796-14114EF66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82BEE"/>
    <w:pPr>
      <w:numPr>
        <w:numId w:val="1"/>
      </w:num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82BEE"/>
    <w:rPr>
      <w:sz w:val="20"/>
      <w:szCs w:val="20"/>
    </w:rPr>
  </w:style>
  <w:style w:type="character" w:customStyle="1" w:styleId="ams">
    <w:name w:val="ams"/>
    <w:basedOn w:val="Fontepargpadro"/>
    <w:rsid w:val="008F32F3"/>
  </w:style>
  <w:style w:type="paragraph" w:styleId="NormalWeb">
    <w:name w:val="Normal (Web)"/>
    <w:basedOn w:val="Normal"/>
    <w:uiPriority w:val="99"/>
    <w:semiHidden/>
    <w:unhideWhenUsed/>
    <w:rsid w:val="008F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8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3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43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2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3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0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4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Dalapria</dc:creator>
  <cp:keywords/>
  <dc:description/>
  <cp:lastModifiedBy>Vanessa Dalapria</cp:lastModifiedBy>
  <cp:revision>1</cp:revision>
  <dcterms:created xsi:type="dcterms:W3CDTF">2021-07-02T01:02:00Z</dcterms:created>
  <dcterms:modified xsi:type="dcterms:W3CDTF">2021-07-02T01:05:00Z</dcterms:modified>
</cp:coreProperties>
</file>