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13" w:rsidRDefault="00D25D13" w:rsidP="00D25D13">
      <w:pPr>
        <w:pStyle w:val="Ttulo"/>
        <w:rPr>
          <w:rFonts w:ascii="Times" w:hAnsi="Times"/>
          <w:sz w:val="24"/>
          <w:szCs w:val="24"/>
          <w:lang w:val="en-IE"/>
        </w:rPr>
      </w:pPr>
      <w:r>
        <w:rPr>
          <w:rFonts w:ascii="Times" w:hAnsi="Times"/>
          <w:lang w:val="en-IE"/>
        </w:rPr>
        <w:t xml:space="preserve">VEGA </w:t>
      </w:r>
      <w:proofErr w:type="spellStart"/>
      <w:r>
        <w:rPr>
          <w:rFonts w:ascii="Times" w:hAnsi="Times"/>
          <w:lang w:val="en-IE"/>
        </w:rPr>
        <w:t>Petawatt</w:t>
      </w:r>
      <w:proofErr w:type="spellEnd"/>
      <w:r>
        <w:rPr>
          <w:rFonts w:ascii="Times" w:hAnsi="Times"/>
          <w:lang w:val="en-IE"/>
        </w:rPr>
        <w:t xml:space="preserve"> laser facility: </w:t>
      </w:r>
      <w:r>
        <w:rPr>
          <w:rFonts w:ascii="Times" w:hAnsi="Times"/>
          <w:lang w:val="en-IE"/>
        </w:rPr>
        <w:t xml:space="preserve">current system capabilities </w:t>
      </w:r>
    </w:p>
    <w:p w:rsidR="00D25D13" w:rsidRDefault="00D25D13" w:rsidP="00D25D13">
      <w:pPr>
        <w:spacing w:after="60"/>
        <w:jc w:val="center"/>
        <w:rPr>
          <w:rFonts w:ascii="Times" w:hAnsi="Times"/>
          <w:b/>
          <w:sz w:val="20"/>
          <w:szCs w:val="20"/>
          <w:lang w:val="es-ES"/>
        </w:rPr>
      </w:pPr>
      <w:r>
        <w:rPr>
          <w:rFonts w:ascii="Times" w:hAnsi="Times"/>
          <w:b/>
          <w:lang w:val="es-ES"/>
        </w:rPr>
        <w:t>Cruz Méndez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>, Irene Hernández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>, José D. Pisonero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 xml:space="preserve">, Javier </w:t>
      </w:r>
      <w:proofErr w:type="gramStart"/>
      <w:r>
        <w:rPr>
          <w:rFonts w:ascii="Times" w:hAnsi="Times"/>
          <w:b/>
          <w:lang w:val="es-ES"/>
        </w:rPr>
        <w:t>García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 xml:space="preserve"> </w:t>
      </w:r>
      <w:r>
        <w:rPr>
          <w:rFonts w:ascii="Times" w:hAnsi="Times"/>
          <w:bCs/>
          <w:iCs/>
          <w:vertAlign w:val="superscript"/>
          <w:lang w:val="es-ES"/>
        </w:rPr>
        <w:t xml:space="preserve"> </w:t>
      </w:r>
      <w:r>
        <w:rPr>
          <w:rFonts w:ascii="Times" w:hAnsi="Times"/>
          <w:b/>
          <w:lang w:val="es-ES"/>
        </w:rPr>
        <w:t>,</w:t>
      </w:r>
      <w:proofErr w:type="gramEnd"/>
      <w:r>
        <w:rPr>
          <w:rFonts w:ascii="Times" w:hAnsi="Times"/>
          <w:b/>
          <w:lang w:val="es-ES"/>
        </w:rPr>
        <w:t xml:space="preserve"> José L. Sagredo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>,</w:t>
      </w:r>
      <w:r>
        <w:rPr>
          <w:rFonts w:ascii="Times" w:hAnsi="Times"/>
          <w:b/>
          <w:lang w:val="es-ES"/>
        </w:rPr>
        <w:t xml:space="preserve"> </w:t>
      </w:r>
      <w:r>
        <w:rPr>
          <w:rFonts w:ascii="Times" w:hAnsi="Times"/>
          <w:b/>
          <w:lang w:val="es-ES"/>
        </w:rPr>
        <w:t>Oscar Varela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>, Enrique García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>,  Marta Olivar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>, Luis Roso</w:t>
      </w:r>
      <w:r>
        <w:rPr>
          <w:rFonts w:ascii="Times" w:hAnsi="Times"/>
          <w:vertAlign w:val="superscript"/>
          <w:lang w:val="es-ES"/>
        </w:rPr>
        <w:t>1</w:t>
      </w:r>
      <w:r>
        <w:rPr>
          <w:rFonts w:ascii="Times" w:hAnsi="Times"/>
          <w:b/>
          <w:lang w:val="es-ES"/>
        </w:rPr>
        <w:t xml:space="preserve"> </w:t>
      </w:r>
      <w:r>
        <w:rPr>
          <w:rFonts w:ascii="Times" w:hAnsi="Times"/>
          <w:bCs/>
          <w:iCs/>
          <w:vertAlign w:val="superscript"/>
          <w:lang w:val="es-ES"/>
        </w:rPr>
        <w:t xml:space="preserve"> </w:t>
      </w:r>
    </w:p>
    <w:p w:rsidR="00D25D13" w:rsidRDefault="00D25D13" w:rsidP="00D25D13">
      <w:pPr>
        <w:spacing w:after="60"/>
        <w:jc w:val="center"/>
        <w:rPr>
          <w:rFonts w:ascii="Times" w:hAnsi="Times"/>
          <w:i/>
          <w:sz w:val="16"/>
          <w:szCs w:val="16"/>
          <w:lang w:val="fr-FR"/>
        </w:rPr>
      </w:pPr>
      <w:r w:rsidRPr="00D25D13">
        <w:rPr>
          <w:rFonts w:eastAsia="MS Mincho"/>
          <w:i/>
          <w:iCs/>
          <w:sz w:val="16"/>
          <w:szCs w:val="16"/>
          <w:lang w:val="es-ES" w:eastAsia="ja-JP"/>
        </w:rPr>
        <w:t xml:space="preserve">1.  Centro de </w:t>
      </w:r>
      <w:proofErr w:type="spellStart"/>
      <w:r w:rsidRPr="00D25D13">
        <w:rPr>
          <w:rFonts w:eastAsia="MS Mincho"/>
          <w:i/>
          <w:iCs/>
          <w:sz w:val="16"/>
          <w:szCs w:val="16"/>
          <w:lang w:val="es-ES" w:eastAsia="ja-JP"/>
        </w:rPr>
        <w:t>Lásers</w:t>
      </w:r>
      <w:proofErr w:type="spellEnd"/>
      <w:r w:rsidRPr="00D25D13">
        <w:rPr>
          <w:rFonts w:eastAsia="MS Mincho"/>
          <w:i/>
          <w:iCs/>
          <w:sz w:val="16"/>
          <w:szCs w:val="16"/>
          <w:lang w:val="es-ES" w:eastAsia="ja-JP"/>
        </w:rPr>
        <w:t xml:space="preserve"> Pulsados Ultracortos </w:t>
      </w:r>
      <w:proofErr w:type="spellStart"/>
      <w:r w:rsidRPr="00D25D13">
        <w:rPr>
          <w:rFonts w:eastAsia="MS Mincho"/>
          <w:i/>
          <w:iCs/>
          <w:sz w:val="16"/>
          <w:szCs w:val="16"/>
          <w:lang w:val="es-ES" w:eastAsia="ja-JP"/>
        </w:rPr>
        <w:t>Ultraintensos</w:t>
      </w:r>
      <w:proofErr w:type="spellEnd"/>
      <w:r w:rsidRPr="00D25D13">
        <w:rPr>
          <w:rFonts w:eastAsia="MS Mincho"/>
          <w:i/>
          <w:iCs/>
          <w:sz w:val="16"/>
          <w:szCs w:val="16"/>
          <w:lang w:val="es-ES" w:eastAsia="ja-JP"/>
        </w:rPr>
        <w:t xml:space="preserve">, Edif. M5, Parque Científico USAL, Villamayor Salamanca, </w:t>
      </w:r>
      <w:proofErr w:type="spellStart"/>
      <w:r w:rsidRPr="00D25D13">
        <w:rPr>
          <w:rFonts w:eastAsia="MS Mincho"/>
          <w:i/>
          <w:iCs/>
          <w:sz w:val="16"/>
          <w:szCs w:val="16"/>
          <w:lang w:val="es-ES" w:eastAsia="ja-JP"/>
        </w:rPr>
        <w:t>Spain</w:t>
      </w:r>
      <w:proofErr w:type="spellEnd"/>
      <w:r w:rsidRPr="00D25D13">
        <w:rPr>
          <w:rFonts w:eastAsia="MS Mincho"/>
          <w:i/>
          <w:iCs/>
          <w:sz w:val="16"/>
          <w:szCs w:val="16"/>
          <w:lang w:val="es-ES" w:eastAsia="ja-JP"/>
        </w:rPr>
        <w:t>.</w:t>
      </w:r>
    </w:p>
    <w:p w:rsidR="00D25D13" w:rsidRDefault="00D25D13" w:rsidP="00D25D13">
      <w:pPr>
        <w:spacing w:after="60" w:line="230" w:lineRule="exact"/>
        <w:ind w:firstLine="284"/>
        <w:jc w:val="center"/>
        <w:rPr>
          <w:rFonts w:ascii="Times" w:hAnsi="Times"/>
          <w:sz w:val="24"/>
          <w:szCs w:val="24"/>
          <w:lang w:val="es-ES"/>
        </w:rPr>
      </w:pPr>
    </w:p>
    <w:p w:rsidR="00D25D13" w:rsidRPr="001F21EC" w:rsidRDefault="00D25D13" w:rsidP="00D25D13">
      <w:pPr>
        <w:pStyle w:val="Figure"/>
        <w:ind w:firstLine="326"/>
        <w:jc w:val="both"/>
        <w:rPr>
          <w:rFonts w:eastAsia="Times New Roman"/>
          <w:kern w:val="0"/>
          <w:sz w:val="22"/>
          <w:lang w:val="en-GB" w:eastAsia="fr-FR"/>
        </w:rPr>
      </w:pPr>
      <w:r w:rsidRPr="001F21EC">
        <w:rPr>
          <w:rFonts w:eastAsia="Times New Roman"/>
          <w:kern w:val="0"/>
          <w:sz w:val="22"/>
          <w:lang w:val="en-GB" w:eastAsia="fr-FR"/>
        </w:rPr>
        <w:t xml:space="preserve">VEGA system is a </w:t>
      </w:r>
      <w:proofErr w:type="spellStart"/>
      <w:r w:rsidRPr="001F21EC">
        <w:rPr>
          <w:rFonts w:eastAsia="Times New Roman"/>
          <w:kern w:val="0"/>
          <w:sz w:val="22"/>
          <w:lang w:val="en-GB" w:eastAsia="fr-FR"/>
        </w:rPr>
        <w:t>Petawatt</w:t>
      </w:r>
      <w:proofErr w:type="spellEnd"/>
      <w:r w:rsidRPr="001F21EC">
        <w:rPr>
          <w:rFonts w:eastAsia="Times New Roman"/>
          <w:kern w:val="0"/>
          <w:sz w:val="22"/>
          <w:lang w:val="en-GB" w:eastAsia="fr-FR"/>
        </w:rPr>
        <w:t xml:space="preserve"> laser facility belonging to the Spanish Pulsed Lasers </w:t>
      </w:r>
      <w:proofErr w:type="spellStart"/>
      <w:r w:rsidRPr="001F21EC">
        <w:rPr>
          <w:rFonts w:eastAsia="Times New Roman"/>
          <w:kern w:val="0"/>
          <w:sz w:val="22"/>
          <w:lang w:val="en-GB" w:eastAsia="fr-FR"/>
        </w:rPr>
        <w:t>Center</w:t>
      </w:r>
      <w:proofErr w:type="spellEnd"/>
      <w:r w:rsidRPr="001F21EC">
        <w:rPr>
          <w:rFonts w:eastAsia="Times New Roman"/>
          <w:kern w:val="0"/>
          <w:sz w:val="22"/>
          <w:lang w:val="en-GB" w:eastAsia="fr-FR"/>
        </w:rPr>
        <w:t xml:space="preserve"> (Salamanca, S</w:t>
      </w:r>
      <w:r w:rsidR="001F21EC">
        <w:rPr>
          <w:rFonts w:eastAsia="Times New Roman"/>
          <w:kern w:val="0"/>
          <w:sz w:val="22"/>
          <w:lang w:val="en-GB" w:eastAsia="fr-FR"/>
        </w:rPr>
        <w:t>p</w:t>
      </w:r>
      <w:r w:rsidRPr="001F21EC">
        <w:rPr>
          <w:rFonts w:eastAsia="Times New Roman"/>
          <w:kern w:val="0"/>
          <w:sz w:val="22"/>
          <w:lang w:val="en-GB" w:eastAsia="fr-FR"/>
        </w:rPr>
        <w:t>ain). The facility infrastructure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 allows the possibility to develop experiments for 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better understanding the physics of linear and 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non-linear interactions of intense lasers with matter. </w:t>
      </w:r>
    </w:p>
    <w:p w:rsidR="00D25D13" w:rsidRPr="001F21EC" w:rsidRDefault="00D25D13" w:rsidP="00D25D13">
      <w:pPr>
        <w:pStyle w:val="Figure"/>
        <w:ind w:firstLine="326"/>
        <w:jc w:val="both"/>
        <w:rPr>
          <w:rFonts w:eastAsia="Times New Roman"/>
          <w:kern w:val="0"/>
          <w:sz w:val="22"/>
          <w:lang w:val="en-GB" w:eastAsia="fr-FR"/>
        </w:rPr>
      </w:pPr>
      <w:r w:rsidRPr="001F21EC">
        <w:rPr>
          <w:rFonts w:eastAsia="Times New Roman"/>
          <w:kern w:val="0"/>
          <w:sz w:val="22"/>
          <w:lang w:val="en-GB" w:eastAsia="fr-FR"/>
        </w:rPr>
        <w:t>This laser facility is a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 </w:t>
      </w:r>
      <w:proofErr w:type="spellStart"/>
      <w:r w:rsidRPr="001F21EC">
        <w:rPr>
          <w:rFonts w:eastAsia="Times New Roman"/>
          <w:kern w:val="0"/>
          <w:sz w:val="22"/>
          <w:lang w:val="en-GB" w:eastAsia="fr-FR"/>
        </w:rPr>
        <w:t>Ti</w:t>
      </w:r>
      <w:proofErr w:type="gramStart"/>
      <w:r w:rsidRPr="001F21EC">
        <w:rPr>
          <w:rFonts w:eastAsia="Times New Roman"/>
          <w:kern w:val="0"/>
          <w:sz w:val="22"/>
          <w:lang w:val="en-GB" w:eastAsia="fr-FR"/>
        </w:rPr>
        <w:t>:Sapphire</w:t>
      </w:r>
      <w:proofErr w:type="spellEnd"/>
      <w:proofErr w:type="gramEnd"/>
      <w:r w:rsidRPr="001F21EC">
        <w:rPr>
          <w:rFonts w:eastAsia="Times New Roman"/>
          <w:kern w:val="0"/>
          <w:sz w:val="22"/>
          <w:lang w:val="en-GB" w:eastAsia="fr-FR"/>
        </w:rPr>
        <w:t xml:space="preserve"> Chi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rped Pulse Amplification-based 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chain 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that 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has three common frontend outputs called VEGA 1,2 and 3 with characteristics shown in Table 1. </w:t>
      </w:r>
    </w:p>
    <w:p w:rsidR="00D25D13" w:rsidRPr="001F21EC" w:rsidRDefault="00D25D13" w:rsidP="00D25D13">
      <w:pPr>
        <w:pStyle w:val="Figure"/>
        <w:ind w:firstLine="326"/>
        <w:jc w:val="both"/>
        <w:rPr>
          <w:rFonts w:eastAsia="Times New Roman"/>
          <w:kern w:val="0"/>
          <w:sz w:val="22"/>
          <w:lang w:val="en-GB" w:eastAsia="fr-FR"/>
        </w:rPr>
      </w:pPr>
    </w:p>
    <w:p w:rsidR="00D25D13" w:rsidRPr="001F21EC" w:rsidRDefault="00D25D13" w:rsidP="00D25D13">
      <w:pPr>
        <w:pStyle w:val="Figure"/>
        <w:rPr>
          <w:rFonts w:eastAsia="Times New Roman"/>
          <w:kern w:val="0"/>
          <w:sz w:val="22"/>
          <w:lang w:val="en-GB" w:eastAsia="fr-FR"/>
        </w:rPr>
      </w:pPr>
      <w:proofErr w:type="gramStart"/>
      <w:r w:rsidRPr="001F21EC">
        <w:rPr>
          <w:rFonts w:eastAsia="Times New Roman"/>
          <w:kern w:val="0"/>
          <w:sz w:val="22"/>
          <w:lang w:val="en-GB" w:eastAsia="fr-FR"/>
        </w:rPr>
        <w:t>Table 1.</w:t>
      </w:r>
      <w:proofErr w:type="gramEnd"/>
      <w:r w:rsidRPr="001F21EC">
        <w:rPr>
          <w:rFonts w:eastAsia="Times New Roman"/>
          <w:kern w:val="0"/>
          <w:sz w:val="22"/>
          <w:lang w:val="en-GB" w:eastAsia="fr-FR"/>
        </w:rPr>
        <w:t xml:space="preserve"> VEGA system outputs characteristics</w:t>
      </w: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302"/>
        <w:gridCol w:w="1312"/>
        <w:gridCol w:w="1276"/>
        <w:gridCol w:w="1276"/>
      </w:tblGrid>
      <w:tr w:rsidR="00D25D13" w:rsidRPr="001F21EC" w:rsidTr="00D25D13">
        <w:trPr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VEGA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VEGA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VEGA 3</w:t>
            </w:r>
          </w:p>
        </w:tc>
      </w:tr>
      <w:tr w:rsidR="00D25D13" w:rsidRPr="001F21EC" w:rsidTr="00D25D13">
        <w:trPr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 w:rsidP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Peak pulse e</w:t>
            </w: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 xml:space="preserve">nergy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5</w:t>
            </w: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 xml:space="preserve">00 </w:t>
            </w:r>
            <w:proofErr w:type="spellStart"/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mJ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5</w:t>
            </w: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 xml:space="preserve"> 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30 J</w:t>
            </w:r>
          </w:p>
        </w:tc>
      </w:tr>
      <w:tr w:rsidR="00D25D13" w:rsidRPr="001F21EC" w:rsidTr="00D25D13">
        <w:trPr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 w:rsidP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Pulse te</w:t>
            </w: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mporal width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 xml:space="preserve">30 </w:t>
            </w:r>
            <w:proofErr w:type="spellStart"/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fs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 xml:space="preserve">30 </w:t>
            </w:r>
            <w:proofErr w:type="spellStart"/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fs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 xml:space="preserve">30 </w:t>
            </w:r>
            <w:proofErr w:type="spellStart"/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fs</w:t>
            </w:r>
            <w:proofErr w:type="spellEnd"/>
          </w:p>
        </w:tc>
      </w:tr>
      <w:tr w:rsidR="00D25D13" w:rsidRPr="001F21EC" w:rsidTr="00D25D13">
        <w:trPr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Repetition Rate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10 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10 Hz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1 Hz</w:t>
            </w:r>
          </w:p>
        </w:tc>
      </w:tr>
      <w:tr w:rsidR="00D25D13" w:rsidRPr="001F21EC" w:rsidTr="00D25D13">
        <w:trPr>
          <w:jc w:val="center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Power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16 TW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160 TW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  <w:r w:rsidRPr="001F21EC">
              <w:rPr>
                <w:rFonts w:eastAsia="Times New Roman"/>
                <w:kern w:val="0"/>
                <w:sz w:val="22"/>
                <w:lang w:val="en-GB" w:eastAsia="fr-FR"/>
              </w:rPr>
              <w:t>1 PW</w:t>
            </w:r>
          </w:p>
          <w:p w:rsidR="00D25D13" w:rsidRPr="001F21EC" w:rsidRDefault="00D25D13">
            <w:pPr>
              <w:pStyle w:val="Figure"/>
              <w:jc w:val="both"/>
              <w:rPr>
                <w:rFonts w:eastAsia="Times New Roman"/>
                <w:kern w:val="0"/>
                <w:sz w:val="22"/>
                <w:lang w:val="en-GB" w:eastAsia="fr-FR"/>
              </w:rPr>
            </w:pPr>
          </w:p>
        </w:tc>
      </w:tr>
    </w:tbl>
    <w:p w:rsidR="00D25D13" w:rsidRPr="001F21EC" w:rsidRDefault="00D25D13" w:rsidP="00D25D13">
      <w:pPr>
        <w:pStyle w:val="Figure"/>
        <w:ind w:firstLine="326"/>
        <w:jc w:val="both"/>
        <w:rPr>
          <w:rFonts w:eastAsia="Times New Roman"/>
          <w:kern w:val="0"/>
          <w:sz w:val="22"/>
          <w:lang w:val="en-GB" w:eastAsia="fr-FR"/>
        </w:rPr>
      </w:pPr>
    </w:p>
    <w:p w:rsidR="00D25D13" w:rsidRPr="001F21EC" w:rsidRDefault="004B5193" w:rsidP="00D25D13">
      <w:pPr>
        <w:pStyle w:val="Figure"/>
        <w:ind w:firstLine="326"/>
        <w:jc w:val="both"/>
        <w:rPr>
          <w:rFonts w:eastAsia="Times New Roman"/>
          <w:kern w:val="0"/>
          <w:sz w:val="22"/>
          <w:lang w:val="en-GB" w:eastAsia="fr-FR"/>
        </w:rPr>
      </w:pPr>
      <w:r w:rsidRPr="001F21EC">
        <w:rPr>
          <w:rFonts w:eastAsia="Times New Roman"/>
          <w:kern w:val="0"/>
          <w:sz w:val="22"/>
          <w:lang w:val="en-GB" w:eastAsia="fr-FR"/>
        </w:rPr>
        <w:t>This configuration</w:t>
      </w:r>
      <w:r>
        <w:rPr>
          <w:rFonts w:eastAsia="Times New Roman"/>
          <w:kern w:val="0"/>
          <w:sz w:val="22"/>
          <w:lang w:val="en-GB" w:eastAsia="fr-FR"/>
        </w:rPr>
        <w:t xml:space="preserve"> offers</w:t>
      </w:r>
      <w:r w:rsidR="00E915A1">
        <w:rPr>
          <w:rFonts w:eastAsia="Times New Roman"/>
          <w:kern w:val="0"/>
          <w:sz w:val="22"/>
          <w:lang w:val="en-GB" w:eastAsia="fr-FR"/>
        </w:rPr>
        <w:t xml:space="preserve"> the possibility of multiple pump-probe experiments. Besides this, </w:t>
      </w:r>
      <w:r>
        <w:rPr>
          <w:rFonts w:eastAsia="Times New Roman"/>
          <w:kern w:val="0"/>
          <w:sz w:val="22"/>
          <w:lang w:val="en-GB" w:eastAsia="fr-FR"/>
        </w:rPr>
        <w:t>a</w:t>
      </w:r>
      <w:r w:rsidR="00D25D13" w:rsidRPr="001F21EC">
        <w:rPr>
          <w:rFonts w:eastAsia="Times New Roman"/>
          <w:kern w:val="0"/>
          <w:sz w:val="22"/>
          <w:lang w:val="en-GB" w:eastAsia="fr-FR"/>
        </w:rPr>
        <w:t xml:space="preserve"> near future installation of an additional </w:t>
      </w:r>
      <w:r w:rsidRPr="001F21EC">
        <w:rPr>
          <w:rFonts w:eastAsia="Times New Roman"/>
          <w:kern w:val="0"/>
          <w:sz w:val="22"/>
          <w:lang w:val="en-GB" w:eastAsia="fr-FR"/>
        </w:rPr>
        <w:t>1 kHz</w:t>
      </w:r>
      <w:r w:rsidR="00D25D13" w:rsidRPr="001F21EC">
        <w:rPr>
          <w:rFonts w:eastAsia="Times New Roman"/>
          <w:kern w:val="0"/>
          <w:sz w:val="22"/>
          <w:lang w:val="en-GB" w:eastAsia="fr-FR"/>
        </w:rPr>
        <w:t xml:space="preserve">, 600 </w:t>
      </w:r>
      <w:r w:rsidR="00D25D13" w:rsidRPr="001F21EC">
        <w:rPr>
          <w:rFonts w:ascii="Symbol" w:eastAsia="Times New Roman" w:hAnsi="Symbol"/>
          <w:kern w:val="0"/>
          <w:sz w:val="22"/>
          <w:lang w:val="en-GB" w:eastAsia="fr-FR"/>
        </w:rPr>
        <w:t></w:t>
      </w:r>
      <w:r w:rsidR="00D25D13" w:rsidRPr="001F21EC">
        <w:rPr>
          <w:rFonts w:eastAsia="Times New Roman"/>
          <w:kern w:val="0"/>
          <w:sz w:val="22"/>
          <w:lang w:val="en-GB" w:eastAsia="fr-FR"/>
        </w:rPr>
        <w:t xml:space="preserve">J, 6 </w:t>
      </w:r>
      <w:proofErr w:type="spellStart"/>
      <w:r w:rsidR="00D25D13" w:rsidRPr="001F21EC">
        <w:rPr>
          <w:rFonts w:eastAsia="Times New Roman"/>
          <w:kern w:val="0"/>
          <w:sz w:val="22"/>
          <w:lang w:val="en-GB" w:eastAsia="fr-FR"/>
        </w:rPr>
        <w:t>fs</w:t>
      </w:r>
      <w:proofErr w:type="spellEnd"/>
      <w:r w:rsidR="00D25D13" w:rsidRPr="001F21EC">
        <w:rPr>
          <w:rFonts w:eastAsia="Times New Roman"/>
          <w:kern w:val="0"/>
          <w:sz w:val="22"/>
          <w:lang w:val="en-GB" w:eastAsia="fr-FR"/>
        </w:rPr>
        <w:t xml:space="preserve"> carrier envelope phase </w:t>
      </w:r>
      <w:r>
        <w:rPr>
          <w:rFonts w:eastAsia="Times New Roman"/>
          <w:kern w:val="0"/>
          <w:sz w:val="22"/>
          <w:lang w:val="en-GB" w:eastAsia="fr-FR"/>
        </w:rPr>
        <w:t xml:space="preserve">laser </w:t>
      </w:r>
      <w:bookmarkStart w:id="0" w:name="_GoBack"/>
      <w:bookmarkEnd w:id="0"/>
      <w:r w:rsidR="00D25D13" w:rsidRPr="001F21EC">
        <w:rPr>
          <w:rFonts w:eastAsia="Times New Roman"/>
          <w:kern w:val="0"/>
          <w:sz w:val="22"/>
          <w:lang w:val="en-GB" w:eastAsia="fr-FR"/>
        </w:rPr>
        <w:t xml:space="preserve">system synchronized with VEGA </w:t>
      </w:r>
      <w:r w:rsidR="00E915A1">
        <w:rPr>
          <w:rFonts w:eastAsia="Times New Roman"/>
          <w:kern w:val="0"/>
          <w:sz w:val="22"/>
          <w:lang w:val="en-GB" w:eastAsia="fr-FR"/>
        </w:rPr>
        <w:t>oscillator</w:t>
      </w:r>
      <w:r w:rsidR="00D25D13" w:rsidRPr="001F21EC">
        <w:rPr>
          <w:rFonts w:eastAsia="Times New Roman"/>
          <w:kern w:val="0"/>
          <w:sz w:val="22"/>
          <w:lang w:val="en-GB" w:eastAsia="fr-FR"/>
        </w:rPr>
        <w:t xml:space="preserve">, opens the possibility </w:t>
      </w:r>
      <w:r>
        <w:rPr>
          <w:rFonts w:eastAsia="Times New Roman"/>
          <w:kern w:val="0"/>
          <w:sz w:val="22"/>
          <w:lang w:val="en-GB" w:eastAsia="fr-FR"/>
        </w:rPr>
        <w:t>of having a temporal shorter probe</w:t>
      </w:r>
      <w:r w:rsidR="00D25D13" w:rsidRPr="001F21EC">
        <w:rPr>
          <w:rFonts w:eastAsia="Times New Roman"/>
          <w:kern w:val="0"/>
          <w:sz w:val="22"/>
          <w:lang w:val="en-GB" w:eastAsia="fr-FR"/>
        </w:rPr>
        <w:t>.</w:t>
      </w:r>
    </w:p>
    <w:p w:rsidR="00D25D13" w:rsidRPr="001F21EC" w:rsidRDefault="004B5193" w:rsidP="00D25D13">
      <w:pPr>
        <w:pStyle w:val="Figure"/>
        <w:ind w:firstLine="326"/>
        <w:jc w:val="both"/>
        <w:rPr>
          <w:rFonts w:eastAsia="Times New Roman"/>
          <w:kern w:val="0"/>
          <w:sz w:val="22"/>
          <w:lang w:val="en-GB" w:eastAsia="fr-FR"/>
        </w:rPr>
      </w:pPr>
      <w:r>
        <w:rPr>
          <w:rFonts w:eastAsia="Times New Roman"/>
          <w:kern w:val="0"/>
          <w:sz w:val="22"/>
          <w:lang w:val="en-GB" w:eastAsia="fr-FR"/>
        </w:rPr>
        <w:t xml:space="preserve">This research infrastructure is user oriented trough different calls open to the scientific community. To offer enough beam quality for experimental user setups, </w:t>
      </w:r>
      <w:r w:rsidR="00D25D13" w:rsidRPr="001F21EC">
        <w:rPr>
          <w:rFonts w:eastAsia="Times New Roman"/>
          <w:kern w:val="0"/>
          <w:sz w:val="22"/>
          <w:lang w:val="en-GB" w:eastAsia="fr-FR"/>
        </w:rPr>
        <w:t xml:space="preserve">specific laboratory conditions management as well as reliable laser sources with proper pulse characterization are </w:t>
      </w:r>
      <w:r>
        <w:rPr>
          <w:rFonts w:eastAsia="Times New Roman"/>
          <w:kern w:val="0"/>
          <w:sz w:val="22"/>
          <w:lang w:val="en-GB" w:eastAsia="fr-FR"/>
        </w:rPr>
        <w:t>needed.</w:t>
      </w:r>
    </w:p>
    <w:p w:rsidR="00AB627A" w:rsidRPr="001F21EC" w:rsidRDefault="00D25D13" w:rsidP="004B5193">
      <w:pPr>
        <w:pStyle w:val="Figure"/>
        <w:ind w:firstLine="326"/>
        <w:jc w:val="both"/>
        <w:rPr>
          <w:sz w:val="28"/>
        </w:rPr>
      </w:pPr>
      <w:r w:rsidRPr="001F21EC">
        <w:rPr>
          <w:rFonts w:eastAsia="Times New Roman"/>
          <w:kern w:val="0"/>
          <w:sz w:val="22"/>
          <w:lang w:val="en-GB" w:eastAsia="fr-FR"/>
        </w:rPr>
        <w:t xml:space="preserve">In this work </w:t>
      </w:r>
      <w:r w:rsidR="004B5193">
        <w:rPr>
          <w:rFonts w:eastAsia="Times New Roman"/>
          <w:kern w:val="0"/>
          <w:sz w:val="22"/>
          <w:lang w:val="en-GB" w:eastAsia="fr-FR"/>
        </w:rPr>
        <w:t>a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 description of the layout of the laser system and lab conditions</w:t>
      </w:r>
      <w:r w:rsidR="004B5193">
        <w:rPr>
          <w:rFonts w:eastAsia="Times New Roman"/>
          <w:kern w:val="0"/>
          <w:sz w:val="22"/>
          <w:lang w:val="en-GB" w:eastAsia="fr-FR"/>
        </w:rPr>
        <w:t xml:space="preserve"> is presented</w:t>
      </w:r>
      <w:r w:rsidRPr="001F21EC">
        <w:rPr>
          <w:rFonts w:eastAsia="Times New Roman"/>
          <w:kern w:val="0"/>
          <w:sz w:val="22"/>
          <w:lang w:val="en-GB" w:eastAsia="fr-FR"/>
        </w:rPr>
        <w:t xml:space="preserve">. We also include a summary of improvement plans for </w:t>
      </w:r>
      <w:r w:rsidR="004B5193">
        <w:rPr>
          <w:rFonts w:eastAsia="Times New Roman"/>
          <w:kern w:val="0"/>
          <w:sz w:val="22"/>
          <w:lang w:val="en-GB" w:eastAsia="fr-FR"/>
        </w:rPr>
        <w:t xml:space="preserve">the management of the different laser outputs as well as fast highlights of the operational experience obtained from the first user access call developed during 2018 with VEGA 2 output. </w:t>
      </w:r>
    </w:p>
    <w:p w:rsidR="00AB627A" w:rsidRPr="00AB627A" w:rsidRDefault="00AB627A">
      <w:pPr>
        <w:rPr>
          <w:lang w:val="en-US"/>
        </w:rPr>
      </w:pPr>
    </w:p>
    <w:sectPr w:rsidR="00AB627A" w:rsidRPr="00AB6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ED"/>
    <w:rsid w:val="001013ED"/>
    <w:rsid w:val="00114EA1"/>
    <w:rsid w:val="001F21EC"/>
    <w:rsid w:val="004B5193"/>
    <w:rsid w:val="005B4EE2"/>
    <w:rsid w:val="007D7E78"/>
    <w:rsid w:val="00AB627A"/>
    <w:rsid w:val="00B86F14"/>
    <w:rsid w:val="00D25D13"/>
    <w:rsid w:val="00E9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igure">
    <w:name w:val="Figure"/>
    <w:basedOn w:val="Normal"/>
    <w:rsid w:val="00AB627A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" w:hAnsi="Times New Roman" w:cs="Times New Roman"/>
      <w:kern w:val="2"/>
      <w:sz w:val="24"/>
      <w:szCs w:val="20"/>
      <w:lang w:val="en-US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6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627A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ar"/>
    <w:qFormat/>
    <w:rsid w:val="00D25D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FR" w:eastAsia="fr-FR"/>
    </w:rPr>
  </w:style>
  <w:style w:type="character" w:customStyle="1" w:styleId="TtuloCar">
    <w:name w:val="Título Car"/>
    <w:basedOn w:val="Fuentedeprrafopredeter"/>
    <w:link w:val="Ttulo"/>
    <w:rsid w:val="00D25D13"/>
    <w:rPr>
      <w:rFonts w:ascii="Times New Roman" w:eastAsia="Times New Roman" w:hAnsi="Times New Roman" w:cs="Times New Roman"/>
      <w:b/>
      <w:sz w:val="28"/>
      <w:szCs w:val="20"/>
      <w:lang w:val="fr-FR" w:eastAsia="fr-FR"/>
    </w:rPr>
  </w:style>
  <w:style w:type="paragraph" w:customStyle="1" w:styleId="MCBody">
    <w:name w:val="MC Body"/>
    <w:next w:val="Normal"/>
    <w:rsid w:val="00D25D1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aconcuadrcula">
    <w:name w:val="Table Grid"/>
    <w:basedOn w:val="Tablanormal"/>
    <w:rsid w:val="00D25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D25D13"/>
    <w:rPr>
      <w:b/>
      <w:bCs/>
    </w:rPr>
  </w:style>
  <w:style w:type="character" w:styleId="nfasis">
    <w:name w:val="Emphasis"/>
    <w:basedOn w:val="Fuentedeprrafopredeter"/>
    <w:qFormat/>
    <w:rsid w:val="00D25D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igure">
    <w:name w:val="Figure"/>
    <w:basedOn w:val="Normal"/>
    <w:rsid w:val="00AB627A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Times" w:hAnsi="Times New Roman" w:cs="Times New Roman"/>
      <w:kern w:val="2"/>
      <w:sz w:val="24"/>
      <w:szCs w:val="20"/>
      <w:lang w:val="en-US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6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627A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ar"/>
    <w:qFormat/>
    <w:rsid w:val="00D25D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FR" w:eastAsia="fr-FR"/>
    </w:rPr>
  </w:style>
  <w:style w:type="character" w:customStyle="1" w:styleId="TtuloCar">
    <w:name w:val="Título Car"/>
    <w:basedOn w:val="Fuentedeprrafopredeter"/>
    <w:link w:val="Ttulo"/>
    <w:rsid w:val="00D25D13"/>
    <w:rPr>
      <w:rFonts w:ascii="Times New Roman" w:eastAsia="Times New Roman" w:hAnsi="Times New Roman" w:cs="Times New Roman"/>
      <w:b/>
      <w:sz w:val="28"/>
      <w:szCs w:val="20"/>
      <w:lang w:val="fr-FR" w:eastAsia="fr-FR"/>
    </w:rPr>
  </w:style>
  <w:style w:type="paragraph" w:customStyle="1" w:styleId="MCBody">
    <w:name w:val="MC Body"/>
    <w:next w:val="Normal"/>
    <w:rsid w:val="00D25D1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aconcuadrcula">
    <w:name w:val="Table Grid"/>
    <w:basedOn w:val="Tablanormal"/>
    <w:rsid w:val="00D25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D25D13"/>
    <w:rPr>
      <w:b/>
      <w:bCs/>
    </w:rPr>
  </w:style>
  <w:style w:type="character" w:styleId="nfasis">
    <w:name w:val="Emphasis"/>
    <w:basedOn w:val="Fuentedeprrafopredeter"/>
    <w:qFormat/>
    <w:rsid w:val="00D25D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 Méndez Valverde</dc:creator>
  <cp:keywords/>
  <dc:description/>
  <cp:lastModifiedBy>Cruz Méndez Valverde</cp:lastModifiedBy>
  <cp:revision>8</cp:revision>
  <dcterms:created xsi:type="dcterms:W3CDTF">2019-01-18T17:32:00Z</dcterms:created>
  <dcterms:modified xsi:type="dcterms:W3CDTF">2019-01-20T23:58:00Z</dcterms:modified>
</cp:coreProperties>
</file>